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8" w:rsidRDefault="0054118E" w:rsidP="0054118E">
      <w:pPr>
        <w:jc w:val="center"/>
      </w:pPr>
      <w:r w:rsidRPr="0054118E">
        <w:rPr>
          <w:rFonts w:eastAsia="Times New Roman"/>
          <w:b/>
          <w:szCs w:val="24"/>
          <w:lang w:eastAsia="pt-PT"/>
        </w:rPr>
        <w:t>COMUNICADO DO CONSELHO DO GOVERNO</w:t>
      </w:r>
      <w:r>
        <w:rPr>
          <w:rFonts w:eastAsia="Times New Roman"/>
          <w:b/>
          <w:szCs w:val="24"/>
          <w:lang w:eastAsia="pt-PT"/>
        </w:rPr>
        <w:t xml:space="preserve"> </w:t>
      </w:r>
    </w:p>
    <w:p w:rsidR="0054118E" w:rsidRDefault="0054118E" w:rsidP="0054118E">
      <w:pPr>
        <w:rPr>
          <w:color w:val="FF0000"/>
        </w:rPr>
      </w:pPr>
    </w:p>
    <w:p w:rsidR="00FD1B28" w:rsidRPr="0054118E" w:rsidRDefault="00FD1B28" w:rsidP="0054118E">
      <w:pPr>
        <w:rPr>
          <w:rFonts w:eastAsia="Times New Roman"/>
          <w:szCs w:val="24"/>
          <w:lang w:eastAsia="pt-PT"/>
        </w:rPr>
      </w:pPr>
    </w:p>
    <w:p w:rsidR="00F01957" w:rsidRPr="00FD1B28" w:rsidRDefault="00FD1B28" w:rsidP="00F01957">
      <w:pPr>
        <w:jc w:val="center"/>
        <w:rPr>
          <w:rFonts w:eastAsia="Times New Roman"/>
          <w:b/>
          <w:szCs w:val="24"/>
          <w:lang w:eastAsia="pt-PT"/>
        </w:rPr>
      </w:pPr>
      <w:r w:rsidRPr="00FD1B28">
        <w:rPr>
          <w:rFonts w:eastAsia="Times New Roman"/>
          <w:b/>
          <w:szCs w:val="24"/>
          <w:lang w:eastAsia="pt-PT"/>
        </w:rPr>
        <w:t>Madalena</w:t>
      </w:r>
      <w:r w:rsidR="0054118E" w:rsidRPr="00FD1B28">
        <w:rPr>
          <w:rFonts w:eastAsia="Times New Roman"/>
          <w:b/>
          <w:szCs w:val="24"/>
          <w:lang w:eastAsia="pt-PT"/>
        </w:rPr>
        <w:t xml:space="preserve">, </w:t>
      </w:r>
      <w:r w:rsidR="00A20510">
        <w:rPr>
          <w:rFonts w:eastAsia="Times New Roman"/>
          <w:b/>
          <w:szCs w:val="24"/>
          <w:lang w:eastAsia="pt-PT"/>
        </w:rPr>
        <w:t>4</w:t>
      </w:r>
      <w:bookmarkStart w:id="0" w:name="_GoBack"/>
      <w:bookmarkEnd w:id="0"/>
      <w:r w:rsidRPr="00FD1B28">
        <w:rPr>
          <w:rFonts w:eastAsia="Times New Roman"/>
          <w:b/>
          <w:szCs w:val="24"/>
          <w:lang w:eastAsia="pt-PT"/>
        </w:rPr>
        <w:t xml:space="preserve"> de junho de 2015</w:t>
      </w:r>
    </w:p>
    <w:p w:rsidR="00FD1B28" w:rsidRDefault="00FD1B28" w:rsidP="00F01957">
      <w:pPr>
        <w:jc w:val="center"/>
        <w:rPr>
          <w:rFonts w:eastAsia="Times New Roman"/>
          <w:szCs w:val="24"/>
          <w:lang w:eastAsia="pt-PT"/>
        </w:rPr>
      </w:pPr>
    </w:p>
    <w:p w:rsidR="00F01957" w:rsidRDefault="00F01957" w:rsidP="00F01957">
      <w:pPr>
        <w:jc w:val="center"/>
        <w:rPr>
          <w:rFonts w:eastAsia="Times New Roman"/>
          <w:color w:val="FF0000"/>
          <w:szCs w:val="24"/>
          <w:lang w:eastAsia="pt-PT"/>
        </w:rPr>
      </w:pPr>
    </w:p>
    <w:p w:rsidR="00FD1B28" w:rsidRDefault="00FD1B28" w:rsidP="00F01957">
      <w:pPr>
        <w:jc w:val="center"/>
        <w:rPr>
          <w:rFonts w:eastAsia="Times New Roman"/>
          <w:szCs w:val="24"/>
          <w:lang w:eastAsia="pt-PT"/>
        </w:rPr>
      </w:pPr>
    </w:p>
    <w:p w:rsidR="00FD1B28" w:rsidRDefault="00FD1B28" w:rsidP="00FD1B28">
      <w:pPr>
        <w:jc w:val="both"/>
      </w:pPr>
      <w:r>
        <w:t xml:space="preserve">O Governo dos Açores, reunido na Madalena, a 2 de junho, no âmbito da Visita Estatutária à Ilha do Pico, deliberou: 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 – Atribuir à Santa Casa da Misericórdia das Lajes do Pico, um apoio no montante de cerca de 22 mil euros no âmbito da atividade desta instituição enquanto entidade parceira e cooperante do Pólo Local de Prevenção e Combate à Violência Doméstica da Ilha do Pico, criado no âmbito do Plano Regional de Prevenção e Combate à Violência Doméstica.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Este apoio visa a implementação de medidas no âmbito do II Plano de Prevenção e Combate à Violência Doméstica de Género, designadamente nas áreas da prevenção e sensibilização e intervenção e proteção.</w:t>
      </w:r>
    </w:p>
    <w:p w:rsidR="00FD1B28" w:rsidRDefault="00FD1B28" w:rsidP="00FD1B28">
      <w:pPr>
        <w:jc w:val="both"/>
      </w:pPr>
      <w:r>
        <w:t xml:space="preserve"> </w:t>
      </w:r>
    </w:p>
    <w:p w:rsidR="00FD1B28" w:rsidRDefault="00FD1B28" w:rsidP="00FD1B28">
      <w:pPr>
        <w:jc w:val="both"/>
      </w:pPr>
      <w:r>
        <w:t>2 - Reforçar o apoio à recuperação e requalificação de habitação degradada na ilha do Pico, melhorando a segurança e salubridade habitacionais, contribuindo para a preservação do parque habitacional edificado, promovendo a fixação da população nas suas freguesias e respondendo, ainda, às necessidades da fileira da construção civil.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3 - Autorizar a abertura de concurso para admissão de um terapeuta da fala e de um terapeuta ocupacional para a Unidade de Saúde de Ilha do Pico, passando assim esta unidade a dispor de dois profissionais na área da terapia da fala e de sessões de terapia ocupacional.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Esta medida permitirá uma melhor resposta aos utentes neste setor, designadamente no âmbito da intervenção precoce.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4 – Autorizar a aquisição de um equipamento de tomografia computorizada (TAC), para o Centro de Saúde da Madalena, num investimento de 90 mil euros.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Este investimento permitirá aumentar a capacidade de diagnóstico e obter resultados mais céleres na avaliação dos doentes no serviço de urgência da ilha do Pico, bem como evitar evacuações desnecessárias para o Hospital da Horta.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5 – Autorizar o lançamento dos procedimentos necessários às empreitadas de construção de muro de suporte da ER n.º1-2.ª, ao Cais do Pico, em São Roque, e de correção e requalificação de bermas num troço urbano da ER n.º 1-2.ª, junto à escola da Piedade, nas Lajes do Pico.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lastRenderedPageBreak/>
        <w:t>As referidas empreitadas traduzem-se num investimento global de cerca de 142 mil euros e destinam-se a melhorar as condições de circulação e segurança nestes troços urbanos.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6 - Autorizar o lançamento do concurso para a empreitada de beneficiação e requalificação da entrada nascente de São Roque do Pico.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Esta empreitada, inscrita na Carta Regional das Obras Públicas, será posta a concurso durante o mês de junho do corrente ano, com uma estimativa de 250 mil euros, envolvendo a construção de uma rotunda com caraterísticas urbanas, iluminação pública e execução de redes de abastecimento de águas, rede de rega e de drenagem pluvial. 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7 - Encetar os procedimentos conducentes à elaboração do projeto de construção de seis casas de aprestos para apoio aos armadores do atum na Madalena, contribuindo, assim, para a melhoria das condições do exercício da atividade.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8 - Encetar os procedimentos conducentes à elaboração do projeto de construção de casas de aprestos para apoio aos armadores dos portos de pesca de São Roque do Pico e das Lajes do Pico.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9 – No âmbito das medidas de gestão e salvaguarda da orla costeira, lançar os procedimentos conducentes ao lançamento da empreitada de proteção e requalificação costeira da Baía das Canas, nas Lajes do Pico.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10 – Elaborar uma vistoria técnica ao Porto das Ribeiras, nas Lajes do Pico, para aferir as condições de operacionalidade deste porto de pesca.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11 – Proceder à beneficiação de um troço com 1.800 metros no Caminho Rural dos Matos de São João, freguesia de São João, concelho das Lajes do Pico, através da execução da pavimentação e da rede de drenagem, num custo estimado de 250 mil euros.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Este caminho reveste-se de especial importância estratégica enquanto via de acesso a pastagens, terrenos agrícolas, pomares, quintas e áreas florestais, servindo também de passagem ao utilizador turístico.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12 - Proceder à abertura do procedimento para a elaboração do projeto de arquitetura e engenharia, bem como a conceção de conteúdos da Casa dos Vulcões, na freguesia de Santa Luzia, concelho de São Roque, com o objetivo de valorizar a oferta da rede de Centros Ambientais dos Açores que, em 2014, atraiu mais de 100 mil visitantes, constituindo-se como um importante polo de divulgação ambiental e de promoção e animação turística do arquipélago.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13 – Lançar o procedimento para a adjudicação da 1.ª fase da reabilitação da Ribeira do Dilúvio, na freguesia de São Caetano, concelho da Madalena.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lastRenderedPageBreak/>
        <w:t>A empreitada, no valor base de 149 mil e 500 euros, visa mitigar os problemas de fluxos detríticos e escoamento hidráulico na Ribeira do Dilúvio.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14 - Denominar a Reserva Florestal de Recreio da Prainha, no concelho de São Roque do Pico, como Reserva Florestal Eng.º. Manuel José Baptista de Simas. 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Trata-se de uma das mais recentes Reservas Florestais de Recreio da Região tendo sido projetada e executada pelos Serviços Florestais da Ilha do Pico, chefiados então pelo Eng.º Zeca Simas, como era conhecido. 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O Eng.º Manuel José Batista de Simas</w:t>
      </w:r>
      <w:proofErr w:type="gramStart"/>
      <w:r>
        <w:t>,</w:t>
      </w:r>
      <w:proofErr w:type="gramEnd"/>
      <w:r>
        <w:t xml:space="preserve"> chefiou os Serviços Florestais do Pico, desde 1962 até 1994, ano em que passou à situação de aposentado, deixando um valioso legado em prol do desenvolvimento rural da população da ilha do Pico de onde se destaca a abertura de caminhos agrícolas e florestais, recuperação de baldios, valorização de áreas de património natural e criação de zonas de lazer.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15 - Ceder à Cooperativa Vitivinícola da Ilha do Pico e à Adega Cooperativa dos Biscoitos, na ilha Terceira, oito e quatro canhões de gás, respetivamente, destinados à realização de ensaios de afugentamento de aves selvagens nas áreas de paisagem protegida da Cultura da Vinha do Pico e da Vinha dos Biscoitos, durante o período de maturação das uvas. 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Os referidos ensaios serão desenvolvidos sob supervisão dos Serviços de Ambiente das ilhas do Pico e Terceira e com a colaboração da Sociedade Portuguesa para o Estudo das Aves (SPEA).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O Conselho do Governo deliberou ainda: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16 – Autorizar a cedência, a título definitivo e gratuito, das benfeitorias de um moinho de moer cereais à força do vento e mais dependências e uma casa de despejo, situadas ao Pico do Cavalo – Rua da Eira Velha, freguesia dos Ginetes, concelho de Ponta Delgada.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Esta cedência tem por finalidade a reabilitação e valorização do imóvel.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17 - Autorizar a cedência, a título definitivo e gratuito, à Freguesia da Ribeirinha, do prédio urbano, com a área de 4.000 m2, sito na Canada do Carlos à Canada do Matias – Rua da Igreja, freguesia da Ribeirinha, concelho da Horta, destinado à construção de um polivalente multiusos.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18 - Considerando a redução das taxas de juro nos mercados e a consequente poupança que estas proporcionam e tendo, ainda, em conta a oportunidade de a Região se refinanciar no corrente ano de 2015, sem acarretar aumento de endividamento, o Governo Regional aprovou a contratação pela Região de um empréstimo no montante de 19 milhões de euros, a conceder pela Caixa Geral de Depósitos, destinado a amortizar o empréstimo obtido junto da República em 2012.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lastRenderedPageBreak/>
        <w:t>19 – Aprovar a reestruturação do financiamento do Serviço Regional de Saúde que assegura uma redução de 4,1 milhões de euros por ano dos encargos financeiros do sector.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Esta poupança decorre da redução muito significativa das taxas de juro obtidas nos mercados financeiros, permitindo assim, sem qualquer aumento do endividamento da Região, garantir uma redução superior a quatro milhões de euros dos respetivos custos financeiros.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Para a concretização deste objetivo, foram autorizadas as renovações da concessão de cinco avales no montante global de 63 milhões de euros à Saudaçor e Hospitais da Região, que irão assim, assegurar, sem aumento de endividamento, uma diminuição de taxas de juro de 50 por cento sobre os financiamentos já existentes.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20 - Proceder à abertura de um concurso para apresentação de candidaturas, no âmbito do PRO-SCIENTIA – Eixo 1 “VALORIZAR”, para apoio a Projetos de Investigação Científica e Desenvolvimento Tecnológico alinhados com a Estratégia de Investigação e Inovação para uma Especialização Inteligente (RIS3) da Região Autónoma dos Açores. 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São elegíveis projetos individuais ou em copromoção com uma duração prevista de três anos, apresentados por entidades não empresariais do Sistema Científico e Tecnológico dos Açores (SCTA).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Este concurso, que, entre os apoios previstos, inclui o apoio à contratação de recursos humanos altamente qualificados, tem uma dotação financeira de 2 milhões e 500 mil euros, estando previsto um apoio máximo por projeto de 150 mil euros para três anos.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Os projetos a apoiar no âmbito deste concurso serão objeto de candidatura ao Programa Operacional Açores 2020.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21 – Autorizar o lançamento da empreitada de proteção costeira e requalificação do Porto da Barra, em Santa Cruz da Graciosa, 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Esta obra, prevista na Carta Regional de Obras Públicas (CROP), será lançada a concurso com um preço base estimado de 5 milhões e 785 mil euros e um prazo de execução previsto de 18 meses.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22 – Determinar a elaboração do Plano de Gestão de Riscos de Inundações da Região Autónoma dos Açores (PGRIA), em cumprimento da diretiva comunitária que estabeleceu o quadro para a avaliação e gestão dos riscos de inundações.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Este instrumento de gestão territorial reveste a forma de plano setorial, tendo como principal objetivo estratégico a redução das potenciais consequências prejudiciais das inundações, através da definição de medidas de prevenção, proteção, preparação e resposta adequadas às especificidades de cada uma das cinco zonas identificadas com riscos potenciais significativos, nomeadamente as bacias hidrográficas da Ribeira </w:t>
      </w:r>
      <w:r>
        <w:lastRenderedPageBreak/>
        <w:t>Grande e da Ribeira da Povoação, em São Miguel, da Ribeira de Agualva e da Ribeira do Testo, na ilha Terceira, e da Ribeira Grande, na ilha das Flores.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 xml:space="preserve">A seleção das cinco bacias situadas nas ilhas de São Miguel, Terceira e Flores resultou da aplicação de três critérios conjugados: o registo histórico de cheias/inundações, considerando a sua reincidência, o número de vítimas mortais e o número de pessoas afetadas; </w:t>
      </w:r>
      <w:proofErr w:type="gramStart"/>
      <w:r>
        <w:t>os cursos de água referenciados nos Planos Municipais de Emergência como passíveis de constituírem perigo</w:t>
      </w:r>
      <w:proofErr w:type="gramEnd"/>
      <w:r>
        <w:t xml:space="preserve"> para as populações; e os cursos de água que intersetam zonas urbanas definidas nos Planos Diretores Municipais.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23 - Aprovar a criação do Programa “Emanuel Félix”, que visa apoiar a tradução para língua inglesa de obras de autores açorianos com vista à edição e distribuição dos mesmos na Bermuda, Canadá e Estados Unidos da América.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Esta iniciativa pretende contribuir para a divulgação da cultura açoriana e corresponder às necessidades das novas gerações das comunidades.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Podem candidatar-se ao programa editoras da Bermuda, Canadá e Estados Unidos da América, editoras portuguesas, bem como tradutores que atestem a garantia da edição da obra a traduzir.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  <w:r>
        <w:t>O apoio destina-se à fase de tradução, sendo da responsabilidade da editora a sua posterior edição e distribuição.</w:t>
      </w:r>
    </w:p>
    <w:p w:rsidR="00FD1B28" w:rsidRDefault="00FD1B28" w:rsidP="00FD1B28">
      <w:pPr>
        <w:jc w:val="both"/>
      </w:pPr>
    </w:p>
    <w:p w:rsidR="00FD1B28" w:rsidRDefault="00FD1B28" w:rsidP="00FD1B28">
      <w:pPr>
        <w:jc w:val="both"/>
      </w:pPr>
    </w:p>
    <w:p w:rsidR="00D451D3" w:rsidRDefault="00D451D3" w:rsidP="00FD1B28">
      <w:pPr>
        <w:jc w:val="both"/>
      </w:pPr>
    </w:p>
    <w:sectPr w:rsidR="00D451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10" w:rsidRDefault="00D44E10" w:rsidP="0054118E">
      <w:r>
        <w:separator/>
      </w:r>
    </w:p>
  </w:endnote>
  <w:endnote w:type="continuationSeparator" w:id="0">
    <w:p w:rsidR="00D44E10" w:rsidRDefault="00D44E10" w:rsidP="0054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86600"/>
      <w:docPartObj>
        <w:docPartGallery w:val="Page Numbers (Bottom of Page)"/>
        <w:docPartUnique/>
      </w:docPartObj>
    </w:sdtPr>
    <w:sdtEndPr/>
    <w:sdtContent>
      <w:p w:rsidR="00FD1B28" w:rsidRDefault="00FD1B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10">
          <w:rPr>
            <w:noProof/>
          </w:rPr>
          <w:t>1</w:t>
        </w:r>
        <w:r>
          <w:fldChar w:fldCharType="end"/>
        </w:r>
      </w:p>
    </w:sdtContent>
  </w:sdt>
  <w:p w:rsidR="00FD1B28" w:rsidRDefault="00FD1B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10" w:rsidRDefault="00D44E10" w:rsidP="0054118E">
      <w:r>
        <w:separator/>
      </w:r>
    </w:p>
  </w:footnote>
  <w:footnote w:type="continuationSeparator" w:id="0">
    <w:p w:rsidR="00D44E10" w:rsidRDefault="00D44E10" w:rsidP="0054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8E" w:rsidRPr="00D14121" w:rsidRDefault="0054118E" w:rsidP="0054118E">
    <w:pPr>
      <w:tabs>
        <w:tab w:val="center" w:pos="4252"/>
        <w:tab w:val="right" w:pos="8504"/>
      </w:tabs>
      <w:jc w:val="center"/>
      <w:rPr>
        <w:rFonts w:eastAsia="Times New Roman"/>
        <w:i/>
        <w:iCs/>
        <w:szCs w:val="24"/>
        <w:lang w:eastAsia="pt-PT"/>
      </w:rPr>
    </w:pPr>
    <w:r w:rsidRPr="00D14121">
      <w:rPr>
        <w:rFonts w:eastAsia="Times New Roman"/>
        <w:i/>
        <w:iCs/>
        <w:noProof/>
        <w:szCs w:val="24"/>
        <w:lang w:eastAsia="pt-PT"/>
      </w:rPr>
      <w:drawing>
        <wp:inline distT="0" distB="0" distL="0" distR="0" wp14:anchorId="6C46C819" wp14:editId="72776196">
          <wp:extent cx="341630" cy="316865"/>
          <wp:effectExtent l="0" t="0" r="0" b="0"/>
          <wp:docPr id="2" name="Imagem 2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18E" w:rsidRPr="00D14121" w:rsidRDefault="0054118E" w:rsidP="0054118E">
    <w:pPr>
      <w:tabs>
        <w:tab w:val="center" w:pos="4252"/>
        <w:tab w:val="right" w:pos="8504"/>
      </w:tabs>
      <w:jc w:val="center"/>
      <w:rPr>
        <w:rFonts w:eastAsia="Times New Roman"/>
        <w:szCs w:val="24"/>
        <w:lang w:eastAsia="pt-PT"/>
      </w:rPr>
    </w:pPr>
    <w:r w:rsidRPr="00D14121">
      <w:rPr>
        <w:rFonts w:eastAsia="Times New Roman"/>
        <w:szCs w:val="24"/>
        <w:lang w:eastAsia="pt-PT"/>
      </w:rPr>
      <w:t>REGIÃO AUTÓNOMA DOS AÇORES</w:t>
    </w:r>
  </w:p>
  <w:p w:rsidR="0054118E" w:rsidRPr="00D14121" w:rsidRDefault="0054118E" w:rsidP="0054118E">
    <w:pPr>
      <w:tabs>
        <w:tab w:val="center" w:pos="4252"/>
        <w:tab w:val="right" w:pos="8504"/>
      </w:tabs>
      <w:jc w:val="center"/>
      <w:rPr>
        <w:rFonts w:eastAsia="Times New Roman"/>
        <w:szCs w:val="24"/>
        <w:lang w:eastAsia="pt-PT"/>
      </w:rPr>
    </w:pPr>
    <w:r w:rsidRPr="00D14121">
      <w:rPr>
        <w:rFonts w:eastAsia="Times New Roman"/>
        <w:szCs w:val="24"/>
        <w:lang w:eastAsia="pt-PT"/>
      </w:rPr>
      <w:t>PRESIDÊNCIA DO GOVERNO</w:t>
    </w:r>
  </w:p>
  <w:p w:rsidR="0054118E" w:rsidRPr="00D14121" w:rsidRDefault="0054118E" w:rsidP="0054118E">
    <w:pPr>
      <w:tabs>
        <w:tab w:val="center" w:pos="4252"/>
        <w:tab w:val="right" w:pos="8504"/>
      </w:tabs>
      <w:rPr>
        <w:rFonts w:eastAsia="Times New Roman"/>
        <w:szCs w:val="24"/>
        <w:lang w:eastAsia="pt-PT"/>
      </w:rPr>
    </w:pPr>
  </w:p>
  <w:p w:rsidR="0054118E" w:rsidRDefault="005411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88"/>
    <w:rsid w:val="001A412A"/>
    <w:rsid w:val="00285F09"/>
    <w:rsid w:val="005109A2"/>
    <w:rsid w:val="0054118E"/>
    <w:rsid w:val="00610DE2"/>
    <w:rsid w:val="006D715B"/>
    <w:rsid w:val="00A20510"/>
    <w:rsid w:val="00C53792"/>
    <w:rsid w:val="00D44E10"/>
    <w:rsid w:val="00D451D3"/>
    <w:rsid w:val="00D9119E"/>
    <w:rsid w:val="00EA0478"/>
    <w:rsid w:val="00F01957"/>
    <w:rsid w:val="00F84688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E2"/>
  </w:style>
  <w:style w:type="paragraph" w:styleId="Cabealho1">
    <w:name w:val="heading 1"/>
    <w:basedOn w:val="Normal"/>
    <w:next w:val="Normal"/>
    <w:link w:val="Cabealho1Carcter"/>
    <w:uiPriority w:val="9"/>
    <w:qFormat/>
    <w:rsid w:val="00610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10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610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10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10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10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610DE2"/>
    <w:pPr>
      <w:spacing w:before="120"/>
    </w:pPr>
    <w:rPr>
      <w:rFonts w:cstheme="minorHAnsi"/>
      <w:iCs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610DE2"/>
    <w:pPr>
      <w:spacing w:before="120"/>
      <w:outlineLvl w:val="0"/>
    </w:pPr>
    <w:rPr>
      <w:bCs/>
      <w:szCs w:val="24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610DE2"/>
    <w:pPr>
      <w:ind w:left="567"/>
    </w:pPr>
    <w:rPr>
      <w:rFonts w:cstheme="minorHAnsi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0DE2"/>
    <w:rPr>
      <w:i/>
      <w:iCs/>
    </w:rPr>
  </w:style>
  <w:style w:type="paragraph" w:styleId="PargrafodaLista">
    <w:name w:val="List Paragraph"/>
    <w:basedOn w:val="Normal"/>
    <w:uiPriority w:val="34"/>
    <w:qFormat/>
    <w:rsid w:val="00610DE2"/>
    <w:pPr>
      <w:ind w:left="720"/>
      <w:contextualSpacing/>
    </w:pPr>
    <w:rPr>
      <w:rFonts w:ascii="Calibri" w:eastAsia="Calibri" w:hAnsi="Calibri"/>
    </w:rPr>
  </w:style>
  <w:style w:type="paragraph" w:styleId="Ttulodondice">
    <w:name w:val="TOC Heading"/>
    <w:basedOn w:val="Cabealho1"/>
    <w:next w:val="Normal"/>
    <w:uiPriority w:val="39"/>
    <w:unhideWhenUsed/>
    <w:qFormat/>
    <w:rsid w:val="00610DE2"/>
    <w:pPr>
      <w:outlineLvl w:val="9"/>
    </w:pPr>
    <w:rPr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4118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118E"/>
  </w:style>
  <w:style w:type="paragraph" w:styleId="Rodap">
    <w:name w:val="footer"/>
    <w:basedOn w:val="Normal"/>
    <w:link w:val="RodapCarcter"/>
    <w:uiPriority w:val="99"/>
    <w:unhideWhenUsed/>
    <w:rsid w:val="0054118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118E"/>
  </w:style>
  <w:style w:type="paragraph" w:styleId="Textodebalo">
    <w:name w:val="Balloon Text"/>
    <w:basedOn w:val="Normal"/>
    <w:link w:val="TextodebaloCarcter"/>
    <w:uiPriority w:val="99"/>
    <w:semiHidden/>
    <w:unhideWhenUsed/>
    <w:rsid w:val="005411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E2"/>
  </w:style>
  <w:style w:type="paragraph" w:styleId="Cabealho1">
    <w:name w:val="heading 1"/>
    <w:basedOn w:val="Normal"/>
    <w:next w:val="Normal"/>
    <w:link w:val="Cabealho1Carcter"/>
    <w:uiPriority w:val="9"/>
    <w:qFormat/>
    <w:rsid w:val="00610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10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610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10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10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10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610DE2"/>
    <w:pPr>
      <w:spacing w:before="120"/>
    </w:pPr>
    <w:rPr>
      <w:rFonts w:cstheme="minorHAnsi"/>
      <w:iCs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610DE2"/>
    <w:pPr>
      <w:spacing w:before="120"/>
      <w:outlineLvl w:val="0"/>
    </w:pPr>
    <w:rPr>
      <w:bCs/>
      <w:szCs w:val="24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610DE2"/>
    <w:pPr>
      <w:ind w:left="567"/>
    </w:pPr>
    <w:rPr>
      <w:rFonts w:cstheme="minorHAnsi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0DE2"/>
    <w:rPr>
      <w:i/>
      <w:iCs/>
    </w:rPr>
  </w:style>
  <w:style w:type="paragraph" w:styleId="PargrafodaLista">
    <w:name w:val="List Paragraph"/>
    <w:basedOn w:val="Normal"/>
    <w:uiPriority w:val="34"/>
    <w:qFormat/>
    <w:rsid w:val="00610DE2"/>
    <w:pPr>
      <w:ind w:left="720"/>
      <w:contextualSpacing/>
    </w:pPr>
    <w:rPr>
      <w:rFonts w:ascii="Calibri" w:eastAsia="Calibri" w:hAnsi="Calibri"/>
    </w:rPr>
  </w:style>
  <w:style w:type="paragraph" w:styleId="Ttulodondice">
    <w:name w:val="TOC Heading"/>
    <w:basedOn w:val="Cabealho1"/>
    <w:next w:val="Normal"/>
    <w:uiPriority w:val="39"/>
    <w:unhideWhenUsed/>
    <w:qFormat/>
    <w:rsid w:val="00610DE2"/>
    <w:pPr>
      <w:outlineLvl w:val="9"/>
    </w:pPr>
    <w:rPr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4118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118E"/>
  </w:style>
  <w:style w:type="paragraph" w:styleId="Rodap">
    <w:name w:val="footer"/>
    <w:basedOn w:val="Normal"/>
    <w:link w:val="RodapCarcter"/>
    <w:uiPriority w:val="99"/>
    <w:unhideWhenUsed/>
    <w:rsid w:val="0054118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118E"/>
  </w:style>
  <w:style w:type="paragraph" w:styleId="Textodebalo">
    <w:name w:val="Balloon Text"/>
    <w:basedOn w:val="Normal"/>
    <w:link w:val="TextodebaloCarcter"/>
    <w:uiPriority w:val="99"/>
    <w:semiHidden/>
    <w:unhideWhenUsed/>
    <w:rsid w:val="005411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1728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mm197004</dc:creator>
  <cp:lastModifiedBy>Ana PDM. Martins</cp:lastModifiedBy>
  <cp:revision>5</cp:revision>
  <dcterms:created xsi:type="dcterms:W3CDTF">2015-01-15T13:49:00Z</dcterms:created>
  <dcterms:modified xsi:type="dcterms:W3CDTF">2015-06-04T09:35:00Z</dcterms:modified>
</cp:coreProperties>
</file>