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1A2D2" w14:textId="77777777" w:rsidR="00D14121" w:rsidRPr="00D14121" w:rsidRDefault="00D14121" w:rsidP="00A04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D14121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COMUNICADO DO CONSELHO DO GOVERNO</w:t>
      </w:r>
    </w:p>
    <w:p w14:paraId="29D1A2D3" w14:textId="77777777" w:rsidR="00D14121" w:rsidRPr="00D14121" w:rsidRDefault="00D14121" w:rsidP="00A04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29D1A2D4" w14:textId="77777777" w:rsidR="00D14121" w:rsidRPr="00D14121" w:rsidRDefault="00D14121" w:rsidP="00A04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29D1A2D5" w14:textId="77777777" w:rsidR="00D14121" w:rsidRPr="00D14121" w:rsidRDefault="00D14121" w:rsidP="00A04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Santa Cruz da Graciosa</w:t>
      </w:r>
      <w:r w:rsidRPr="00D14121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9 de abril de 2013</w:t>
      </w:r>
    </w:p>
    <w:p w14:paraId="224398ED" w14:textId="77777777" w:rsidR="00A04848" w:rsidRDefault="00A04848" w:rsidP="00A04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164E79D7" w14:textId="77777777" w:rsidR="00A04848" w:rsidRDefault="00A04848" w:rsidP="00A04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5BA4FA5B" w14:textId="77777777" w:rsidR="00A04848" w:rsidRDefault="00A04848" w:rsidP="00A04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29D1A2D8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bookmarkStart w:id="0" w:name="_GoBack"/>
      <w:bookmarkEnd w:id="0"/>
      <w:r w:rsidRPr="00EB3E3E">
        <w:rPr>
          <w:rFonts w:ascii="Times New Roman" w:eastAsia="Calibri" w:hAnsi="Times New Roman" w:cs="Times New Roman"/>
          <w:sz w:val="24"/>
          <w:szCs w:val="24"/>
          <w:lang w:eastAsia="pt-PT"/>
        </w:rPr>
        <w:t>O Conselho do Governo, reunido no dia 08 de abril de 2013, em Santa Cruz, no âmbito da visita estatutária à ilha Graciosa, tomou as seguintes deliberações:</w:t>
      </w:r>
    </w:p>
    <w:p w14:paraId="29D1A2D9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29D1A2DA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EB3E3E">
        <w:rPr>
          <w:rFonts w:ascii="Times New Roman" w:eastAsia="Calibri" w:hAnsi="Times New Roman" w:cs="Times New Roman"/>
          <w:sz w:val="24"/>
          <w:szCs w:val="24"/>
          <w:lang w:eastAsia="pt-PT"/>
        </w:rPr>
        <w:t>1 - Apoiar no valor de 15.000€ a Junta de Freguesia de Santa Cruz da Graciosa, no âmbito da cooperação financeira com as Juntas de Freguesia, para proceder a obras de reabilitação da sua sede.</w:t>
      </w:r>
    </w:p>
    <w:p w14:paraId="29D1A2DB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29D1A2DC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EB3E3E">
        <w:rPr>
          <w:rFonts w:ascii="Times New Roman" w:eastAsia="Calibri" w:hAnsi="Times New Roman" w:cs="Times New Roman"/>
          <w:sz w:val="24"/>
          <w:szCs w:val="24"/>
          <w:lang w:eastAsia="pt-PT"/>
        </w:rPr>
        <w:t>2 - Homologar a decisão de aprovação para a ilha Graciosa de cerca de uma centena de candidaturas no âmbito de diversas medidas de promoção de emprego, distribuídas pelos programas PROSA (26), ESTAGIAR L (21), ESTAGIAR T (6), CTTS (38), INTEGRA + (8) e CPE-Premium (1), num investimento global de 327.000€.</w:t>
      </w:r>
    </w:p>
    <w:p w14:paraId="29D1A2DD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29D1A2DE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EB3E3E">
        <w:rPr>
          <w:rFonts w:ascii="Times New Roman" w:eastAsia="Calibri" w:hAnsi="Times New Roman" w:cs="Times New Roman"/>
          <w:sz w:val="24"/>
          <w:szCs w:val="24"/>
          <w:lang w:eastAsia="pt-PT"/>
        </w:rPr>
        <w:t>Com esta decisão, o Governo dos Açores reforça a sua intenção de ajudar à criação de emprego, continuando a dar a maior prioridade a esta matéria em todas as suas políticas, no âmbito da implementação da Agenda Açoriana para a Criação de Emprego e em cooperação com o setor empresarial da Região.</w:t>
      </w:r>
    </w:p>
    <w:p w14:paraId="29D1A2DF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29D1A2E0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EB3E3E">
        <w:rPr>
          <w:rFonts w:ascii="Times New Roman" w:eastAsia="Calibri" w:hAnsi="Times New Roman" w:cs="Times New Roman"/>
          <w:sz w:val="24"/>
          <w:szCs w:val="24"/>
          <w:lang w:eastAsia="pt-PT"/>
        </w:rPr>
        <w:t>3 - Ceder à Santa Casa da Misericórdia de Santa Cruz da Graciosa, o prédio sito à Rua Infante do Henrique, nesta vila.</w:t>
      </w:r>
    </w:p>
    <w:p w14:paraId="29D1A2E1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29D1A2E2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EB3E3E">
        <w:rPr>
          <w:rFonts w:ascii="Times New Roman" w:eastAsia="Calibri" w:hAnsi="Times New Roman" w:cs="Times New Roman"/>
          <w:sz w:val="24"/>
          <w:szCs w:val="24"/>
          <w:lang w:eastAsia="pt-PT"/>
        </w:rPr>
        <w:t>As obras de recuperação do imóvel, a efetuar pela Santa Casa da Misericórdia de Santa Cruz da Graciosa, deverão iniciar-se no prazo de seis meses e estar concluídas no prazo de dois anos a contar da assinatura do auto de cessão.</w:t>
      </w:r>
    </w:p>
    <w:p w14:paraId="29D1A2E3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29D1A2E4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EB3E3E">
        <w:rPr>
          <w:rFonts w:ascii="Times New Roman" w:eastAsia="Calibri" w:hAnsi="Times New Roman" w:cs="Times New Roman"/>
          <w:sz w:val="24"/>
          <w:szCs w:val="24"/>
          <w:lang w:eastAsia="pt-PT"/>
        </w:rPr>
        <w:t>4 - Apoiar a Santa Casa da Misericórdia da Vila da Praia da Graciosa até ao montante de 11.000€ para a pintura exterior do Lar de Idosos, que alberga atualmente 24 idosos.</w:t>
      </w:r>
    </w:p>
    <w:p w14:paraId="29D1A2E5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29D1A2E6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EB3E3E">
        <w:rPr>
          <w:rFonts w:ascii="Times New Roman" w:eastAsia="Calibri" w:hAnsi="Times New Roman" w:cs="Times New Roman"/>
          <w:sz w:val="24"/>
          <w:szCs w:val="24"/>
          <w:lang w:eastAsia="pt-PT"/>
        </w:rPr>
        <w:t>5 - Atribuir à Santa Casa da Misericórdia de Santa Cruz da Graciosa um montante até 35.000€ para promover o cumprimento das normas técnico-legais relativas à segurança do Lar de Idosos da instituição, que atualmente acolhe 60 idosos.</w:t>
      </w:r>
    </w:p>
    <w:p w14:paraId="29D1A2E7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EB3E3E">
        <w:rPr>
          <w:rFonts w:ascii="Times New Roman" w:eastAsia="Calibri" w:hAnsi="Times New Roman" w:cs="Times New Roman"/>
          <w:sz w:val="24"/>
          <w:szCs w:val="24"/>
          <w:lang w:eastAsia="pt-PT"/>
        </w:rPr>
        <w:t> </w:t>
      </w:r>
    </w:p>
    <w:p w14:paraId="29D1A2E8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EB3E3E">
        <w:rPr>
          <w:rFonts w:ascii="Times New Roman" w:eastAsia="Calibri" w:hAnsi="Times New Roman" w:cs="Times New Roman"/>
          <w:sz w:val="24"/>
          <w:szCs w:val="24"/>
          <w:lang w:eastAsia="pt-PT"/>
        </w:rPr>
        <w:t>6 - Atribuir ao Centro Social e Paroquial de Nossa Senhora da Luz uma verba de cerca de 21 mil euros no âmbito da atividade desta instituição enquanto entidade parceira e cooperante do Pólo Local de Prevenção e Combate à Violência Doméstica da Ilha Graciosa, criado no âmbito do 1.º Plano Regional de Prevenção e Combate à Violência Doméstica.</w:t>
      </w:r>
    </w:p>
    <w:p w14:paraId="29D1A2E9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29D1A2EA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EB3E3E">
        <w:rPr>
          <w:rFonts w:ascii="Times New Roman" w:eastAsia="Calibri" w:hAnsi="Times New Roman" w:cs="Times New Roman"/>
          <w:sz w:val="24"/>
          <w:szCs w:val="24"/>
          <w:lang w:eastAsia="pt-PT"/>
        </w:rPr>
        <w:t>7 - Atribuir ao Centro Social e Paroquial de Nossa Senhora da Luz um apoio para a instalação de um sistema de segurança contra incêndios no edifício do ATL e Centro de Convívio de Idosos, que acolhem, respetivamente, 26 crianças e 40 idosos.</w:t>
      </w:r>
    </w:p>
    <w:p w14:paraId="29D1A2EB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29D1A2EC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EB3E3E">
        <w:rPr>
          <w:rFonts w:ascii="Times New Roman" w:eastAsia="Calibri" w:hAnsi="Times New Roman" w:cs="Times New Roman"/>
          <w:sz w:val="24"/>
          <w:szCs w:val="24"/>
          <w:lang w:eastAsia="pt-PT"/>
        </w:rPr>
        <w:t>8 - Autorizar a abertura de concurso para admissão de um fisioterapeuta para a Unidade de Saúde da Ilha Graciosa, passando assim esta unidade a dispor de dois profissionais na área da Fisioterapia, o que permitirá uma melhor resposta aos utentes neste setor.</w:t>
      </w:r>
    </w:p>
    <w:p w14:paraId="29D1A2ED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29D1A2EE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EB3E3E">
        <w:rPr>
          <w:rFonts w:ascii="Times New Roman" w:eastAsia="Calibri" w:hAnsi="Times New Roman" w:cs="Times New Roman"/>
          <w:sz w:val="24"/>
          <w:szCs w:val="24"/>
          <w:lang w:eastAsia="pt-PT"/>
        </w:rPr>
        <w:t>9 - Reforçar o número de médicos de família na Unidade de Saúde da Ilha Graciosa através da contratação de mais um clínico, o que permitirá uma cobertura mais alargada da população, bem como o funcionamento do Serviço de Atendimento Permanente.</w:t>
      </w:r>
    </w:p>
    <w:p w14:paraId="29D1A2EF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29D1A2F0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EB3E3E">
        <w:rPr>
          <w:rFonts w:ascii="Times New Roman" w:eastAsia="Calibri" w:hAnsi="Times New Roman" w:cs="Times New Roman"/>
          <w:sz w:val="24"/>
          <w:szCs w:val="24"/>
          <w:lang w:eastAsia="pt-PT"/>
        </w:rPr>
        <w:t>10 - Apoiar a Associação Cultural, Desportiva e Recreativa da Graciosa em cerca de 3.500 euros para a realização de oito projetos, entre os quais se incluem a ‘Temporada de Teatro da Ilha Graciosa’, a iniciativa ‘Ser Jovem’ ou o projeto ‘Viagem pelas Tradições’.</w:t>
      </w:r>
    </w:p>
    <w:p w14:paraId="29D1A2F1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29D1A2F2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EB3E3E">
        <w:rPr>
          <w:rFonts w:ascii="Times New Roman" w:eastAsia="Calibri" w:hAnsi="Times New Roman" w:cs="Times New Roman"/>
          <w:sz w:val="24"/>
          <w:szCs w:val="24"/>
          <w:lang w:eastAsia="pt-PT"/>
        </w:rPr>
        <w:t>Este apoio integra-se no Plano Anual de Atividades do Programa de Incentivo ao Associativismo Juvenil (PIAJ), no âmbito do Sistema de Incentivos ao Associativismo Juvenil (SIAJ).</w:t>
      </w:r>
    </w:p>
    <w:p w14:paraId="29D1A2F3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29D1A2F4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EB3E3E">
        <w:rPr>
          <w:rFonts w:ascii="Times New Roman" w:eastAsia="Calibri" w:hAnsi="Times New Roman" w:cs="Times New Roman"/>
          <w:sz w:val="24"/>
          <w:szCs w:val="24"/>
          <w:lang w:eastAsia="pt-PT"/>
        </w:rPr>
        <w:t>11 - Com o objetivo de promover o Destino Açores e o produto turístico associado à prática do mergulho, o Governo deliberou apoiar a AGRAPROME (Associação Graciosense de Promoção de Eventos) na realização da Bienal de Fotografia Subaquática, que se realizará em outubro próximo.</w:t>
      </w:r>
    </w:p>
    <w:p w14:paraId="29D1A2F5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29D1A2F6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EB3E3E">
        <w:rPr>
          <w:rFonts w:ascii="Times New Roman" w:eastAsia="Calibri" w:hAnsi="Times New Roman" w:cs="Times New Roman"/>
          <w:sz w:val="24"/>
          <w:szCs w:val="24"/>
          <w:lang w:eastAsia="pt-PT"/>
        </w:rPr>
        <w:t>Ainda neste âmbito, foi igualmente decidido apoiar a AGRAPROME na realização do Rally Ilha Graciosa, a ter lugar em julho, com vista a fomentar o turismo interno.</w:t>
      </w:r>
    </w:p>
    <w:p w14:paraId="29D1A2F7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29D1A2F8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EB3E3E">
        <w:rPr>
          <w:rFonts w:ascii="Times New Roman" w:eastAsia="Calibri" w:hAnsi="Times New Roman" w:cs="Times New Roman"/>
          <w:sz w:val="24"/>
          <w:szCs w:val="24"/>
          <w:lang w:eastAsia="pt-PT"/>
        </w:rPr>
        <w:t>12 - Proceder à recuperação das Piscinas do Carapacho, na sequência dos danos causados pelas intempéries do passado mês de março.</w:t>
      </w:r>
    </w:p>
    <w:p w14:paraId="29D1A2F9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EB3E3E">
        <w:rPr>
          <w:rFonts w:ascii="Times New Roman" w:eastAsia="Calibri" w:hAnsi="Times New Roman" w:cs="Times New Roman"/>
          <w:sz w:val="24"/>
          <w:szCs w:val="24"/>
          <w:lang w:eastAsia="pt-PT"/>
        </w:rPr>
        <w:t>A intervenção envolverá a reabilitação do enrocamento da parte exterior da piscina grande e remoção de pedras, a recuperação do solário e a ligação da piscina pequena ao exterior.</w:t>
      </w:r>
    </w:p>
    <w:p w14:paraId="29D1A2FA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29D1A2FB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EB3E3E">
        <w:rPr>
          <w:rFonts w:ascii="Times New Roman" w:eastAsia="Calibri" w:hAnsi="Times New Roman" w:cs="Times New Roman"/>
          <w:sz w:val="24"/>
          <w:szCs w:val="24"/>
          <w:lang w:eastAsia="pt-PT"/>
        </w:rPr>
        <w:t>O Governo cria, assim, as condições para que as piscinas do Carapacho continuem a afirmar-se como um ponto de atração turística da ilha Graciosa, com acrescidas condições de segurança e de boa utilização.</w:t>
      </w:r>
    </w:p>
    <w:p w14:paraId="29D1A2FC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29D1A2FD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EB3E3E">
        <w:rPr>
          <w:rFonts w:ascii="Times New Roman" w:eastAsia="Calibri" w:hAnsi="Times New Roman" w:cs="Times New Roman"/>
          <w:sz w:val="24"/>
          <w:szCs w:val="24"/>
          <w:lang w:eastAsia="pt-PT"/>
        </w:rPr>
        <w:t>13 - Dando seguimento à política de requalificação da rede viária regional, com vista a dotá-la de elevados padrões de qualidade e segurança, proceder à Reconstrução do Talude da Estrada Regional n.º 1 – 2.ª no lugar dos Fenais, Freguesia de São Mateus, num montante estimado de 25.000€.</w:t>
      </w:r>
    </w:p>
    <w:p w14:paraId="29D1A2FE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29D1A2FF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EB3E3E">
        <w:rPr>
          <w:rFonts w:ascii="Times New Roman" w:eastAsia="Calibri" w:hAnsi="Times New Roman" w:cs="Times New Roman"/>
          <w:sz w:val="24"/>
          <w:szCs w:val="24"/>
          <w:lang w:eastAsia="pt-PT"/>
        </w:rPr>
        <w:t>14 - Dar orientações à IROA, S.A., para que proceda à elaboração do projeto de prolongamento da rede de distribuição de água à lavoura no Perímetro de Ordenamento Agrário de Santa Cruz/Guadalupe, para a zona dos Vimiais, com o objetivo de promover o abastecimento de água às parcelas agrícolas, através da instalação de ramais individuais, abrangendo cerca de meia centena de explorações.</w:t>
      </w:r>
    </w:p>
    <w:p w14:paraId="29D1A300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29D1A301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EB3E3E">
        <w:rPr>
          <w:rFonts w:ascii="Times New Roman" w:eastAsia="Calibri" w:hAnsi="Times New Roman" w:cs="Times New Roman"/>
          <w:sz w:val="24"/>
          <w:szCs w:val="24"/>
          <w:lang w:eastAsia="pt-PT"/>
        </w:rPr>
        <w:lastRenderedPageBreak/>
        <w:t>15 - Encarregar a Direção Regional dos Recursos Florestais de proceder à limpeza, conservação e manutenção de 15 Km de caminhos rurais e florestais, de modo a facilitar o acesso às explorações agropecuárias da ilha Graciosa, na sequência dos estragos causados pelas abundantes chuvas do último inverno.</w:t>
      </w:r>
    </w:p>
    <w:p w14:paraId="29D1A302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29D1A303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EB3E3E">
        <w:rPr>
          <w:rFonts w:ascii="Times New Roman" w:eastAsia="Calibri" w:hAnsi="Times New Roman" w:cs="Times New Roman"/>
          <w:sz w:val="24"/>
          <w:szCs w:val="24"/>
          <w:lang w:eastAsia="pt-PT"/>
        </w:rPr>
        <w:t xml:space="preserve">16 - Dar orientações ao Instituto de Alimentação e Mercados Agrícolas (IAMA) para que proceda à elaboração de todas as peças processuais necessárias ao lançamento do Concurso Público Internacional para a construção do novo Matadouro da Ilha Graciosa, a candidatar no próximo período de programação 2014-2020 ao abrigo do Programa de Desenvolvimento Rural que vier a ser aprovado para a Região Autónoma dos Açores. </w:t>
      </w:r>
    </w:p>
    <w:p w14:paraId="29D1A304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EB3E3E">
        <w:rPr>
          <w:rFonts w:ascii="Times New Roman" w:eastAsia="Calibri" w:hAnsi="Times New Roman" w:cs="Times New Roman"/>
          <w:sz w:val="24"/>
          <w:szCs w:val="24"/>
          <w:lang w:eastAsia="pt-PT"/>
        </w:rPr>
        <w:t>Esta é uma obra estruturante para a agropecuária da ilha Graciosa, sendo considerada como prioritária pelo Governo Regional no próximo Programa de Desenvolvimento Rural 2014-2020.</w:t>
      </w:r>
    </w:p>
    <w:p w14:paraId="29D1A305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29D1A306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EB3E3E">
        <w:rPr>
          <w:rFonts w:ascii="Times New Roman" w:eastAsia="Calibri" w:hAnsi="Times New Roman" w:cs="Times New Roman"/>
          <w:sz w:val="24"/>
          <w:szCs w:val="24"/>
          <w:lang w:eastAsia="pt-PT"/>
        </w:rPr>
        <w:t>17 - Encarregar a Lotaçor, S.A. de iniciar os procedimentos com vista à reparação dos pontões flutuantes do Porto de Pesca da Praia da Graciosa, danificados pelos temporais de 14 de março, de modo a melhorar as atuais condições de operacionalidade e amarração das embarcações.</w:t>
      </w:r>
    </w:p>
    <w:p w14:paraId="29D1A307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29D1A308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EB3E3E">
        <w:rPr>
          <w:rFonts w:ascii="Times New Roman" w:eastAsia="Calibri" w:hAnsi="Times New Roman" w:cs="Times New Roman"/>
          <w:sz w:val="24"/>
          <w:szCs w:val="24"/>
          <w:lang w:eastAsia="pt-PT"/>
        </w:rPr>
        <w:t>18 - Determinar a instalação de um posto de abastecimento de combustível no Porto de Pescas da Praia da Graciosa, melhorando assim as condições de reabastecimento das embarcações locais.</w:t>
      </w:r>
    </w:p>
    <w:p w14:paraId="29D1A309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29D1A30A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EB3E3E">
        <w:rPr>
          <w:rFonts w:ascii="Times New Roman" w:eastAsia="Calibri" w:hAnsi="Times New Roman" w:cs="Times New Roman"/>
          <w:sz w:val="24"/>
          <w:szCs w:val="24"/>
          <w:lang w:eastAsia="pt-PT"/>
        </w:rPr>
        <w:t>19 - Mandar elaborar o projeto de requalificação do Porto Afonso, dotando-o das valências necessárias para o seu correto usufruto do ponto de vista cultural, turístico e lúdico, potenciando assim o elevado valor de uso público desta estrutura, localizada na costa oeste da ilha Graciosa.</w:t>
      </w:r>
    </w:p>
    <w:p w14:paraId="29D1A30B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29D1A30C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EB3E3E">
        <w:rPr>
          <w:rFonts w:ascii="Times New Roman" w:eastAsia="Calibri" w:hAnsi="Times New Roman" w:cs="Times New Roman"/>
          <w:sz w:val="24"/>
          <w:szCs w:val="24"/>
          <w:lang w:eastAsia="pt-PT"/>
        </w:rPr>
        <w:t xml:space="preserve">20 - Dar início aos procedimentos com vista à ampliação do sistema de monitorização, alerta e alarme para a segurança dos visitantes da Furna do Enxofre, incluindo o desenvolvimento e instalação de circuitos de videovigilância e de intercomunicação. </w:t>
      </w:r>
    </w:p>
    <w:p w14:paraId="29D1A30D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29D1A30E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EB3E3E">
        <w:rPr>
          <w:rFonts w:ascii="Times New Roman" w:eastAsia="Calibri" w:hAnsi="Times New Roman" w:cs="Times New Roman"/>
          <w:sz w:val="24"/>
          <w:szCs w:val="24"/>
          <w:lang w:eastAsia="pt-PT"/>
        </w:rPr>
        <w:t>O circuito de vídeo permitirá ainda que os visitantes possam observar a furna nos dias em que o acesso esteja vedado por questões de segurança.</w:t>
      </w:r>
    </w:p>
    <w:p w14:paraId="29D1A30F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29D1A310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EB3E3E">
        <w:rPr>
          <w:rFonts w:ascii="Times New Roman" w:eastAsia="Calibri" w:hAnsi="Times New Roman" w:cs="Times New Roman"/>
          <w:sz w:val="24"/>
          <w:szCs w:val="24"/>
          <w:lang w:eastAsia="pt-PT"/>
        </w:rPr>
        <w:t>21 - Lançar um programa de promoção da Reserva da Biosfera na ilha Graciosa, tendo em vista o reforço da mensagem de promoção dos Açores como região ambientalmente sustentável.</w:t>
      </w:r>
    </w:p>
    <w:p w14:paraId="29D1A311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PT"/>
        </w:rPr>
      </w:pPr>
    </w:p>
    <w:p w14:paraId="29D1A312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EB3E3E">
        <w:rPr>
          <w:rFonts w:ascii="Times New Roman" w:eastAsia="Calibri" w:hAnsi="Times New Roman" w:cs="Times New Roman"/>
          <w:sz w:val="24"/>
          <w:szCs w:val="24"/>
          <w:lang w:eastAsia="pt-PT"/>
        </w:rPr>
        <w:t>O Conselho do Governo aprovou ainda:</w:t>
      </w:r>
    </w:p>
    <w:p w14:paraId="29D1A313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29D1A314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EB3E3E">
        <w:rPr>
          <w:rFonts w:ascii="Times New Roman" w:eastAsia="Calibri" w:hAnsi="Times New Roman" w:cs="Times New Roman"/>
          <w:sz w:val="24"/>
          <w:szCs w:val="24"/>
          <w:lang w:eastAsia="pt-PT"/>
        </w:rPr>
        <w:t>22 - Um projeto de Resolução que reconhece como tradicional a tourada à corda ligada aos festejos do Império de S. Pedro, no lugar de Amoreiras, Freguesia de Santa Cruz, Concelho da Praia da Vitória, e a sua inclusão no mapa das touradas tradicionais que se realizam nos Açores.</w:t>
      </w:r>
    </w:p>
    <w:p w14:paraId="29D1A315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29D1A316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EB3E3E">
        <w:rPr>
          <w:rFonts w:ascii="Times New Roman" w:eastAsia="Calibri" w:hAnsi="Times New Roman" w:cs="Times New Roman"/>
          <w:sz w:val="24"/>
          <w:szCs w:val="24"/>
          <w:lang w:eastAsia="pt-PT"/>
        </w:rPr>
        <w:lastRenderedPageBreak/>
        <w:t>Esta tourada à corda já se realiza há, pelo menos, 15 anos em meados do mês de setembro.</w:t>
      </w:r>
    </w:p>
    <w:p w14:paraId="29D1A317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29D1A318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EB3E3E">
        <w:rPr>
          <w:rFonts w:ascii="Times New Roman" w:eastAsia="Calibri" w:hAnsi="Times New Roman" w:cs="Times New Roman"/>
          <w:sz w:val="24"/>
          <w:szCs w:val="24"/>
          <w:lang w:eastAsia="pt-PT"/>
        </w:rPr>
        <w:t>23 - Qualificar, através de Resolução, as formações geológicas atravessadas pelo poço geotérmico CL4-A, perfurado a mais de mil metros de profundidade, como recurso geotérmico e este como poço de injeção daquele recurso.</w:t>
      </w:r>
    </w:p>
    <w:p w14:paraId="29D1A319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29D1A31A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EB3E3E">
        <w:rPr>
          <w:rFonts w:ascii="Times New Roman" w:eastAsia="Calibri" w:hAnsi="Times New Roman" w:cs="Times New Roman"/>
          <w:sz w:val="24"/>
          <w:szCs w:val="24"/>
          <w:lang w:eastAsia="pt-PT"/>
        </w:rPr>
        <w:t>Os elementos técnicos atualmente disponíveis relativos ao reservatório geotérmico do vulcão do Fogo, em São Miguel, indicam que este poço geotérmico, localizado no concelho da Ribeira Grande, é adequado para a injeção de geofluídos.</w:t>
      </w:r>
    </w:p>
    <w:p w14:paraId="29D1A31B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29D1A31C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EB3E3E">
        <w:rPr>
          <w:rFonts w:ascii="Times New Roman" w:eastAsia="Calibri" w:hAnsi="Times New Roman" w:cs="Times New Roman"/>
          <w:sz w:val="24"/>
          <w:szCs w:val="24"/>
          <w:lang w:eastAsia="pt-PT"/>
        </w:rPr>
        <w:t>24 - Alterar o Programa de Incentivo à Inserção do Estagiar L e T (PIIE), de modo a permitir que, para além de poderem ser contratados estagiários que se encontrem a efetuar estágio na própria entidade empregadora, também possam ser contratados estagiários que tenham efetuado estágio noutra entidade ou em serviços da administração pública regional ou local, desde que a contratação ocorra após o termo do estágio na mesma área de formação do estagiário.</w:t>
      </w:r>
    </w:p>
    <w:p w14:paraId="29D1A31D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29D1A31E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EB3E3E">
        <w:rPr>
          <w:rFonts w:ascii="Times New Roman" w:eastAsia="Calibri" w:hAnsi="Times New Roman" w:cs="Times New Roman"/>
          <w:sz w:val="24"/>
          <w:szCs w:val="24"/>
          <w:lang w:eastAsia="pt-PT"/>
        </w:rPr>
        <w:t>Esta alteração visa proporcionar maiores possibilidades de recrutamento às empresas e de empregabilidade aos estagiários, sendo complementada com a decisão de alargar até 31 de maio o prazo para apresentação de candidaturas por parte das entidades que se proponham contratar estagiários para os seus quadros.</w:t>
      </w:r>
    </w:p>
    <w:p w14:paraId="29D1A31F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29D1A320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EB3E3E">
        <w:rPr>
          <w:rFonts w:ascii="Times New Roman" w:eastAsia="Calibri" w:hAnsi="Times New Roman" w:cs="Times New Roman"/>
          <w:sz w:val="24"/>
          <w:szCs w:val="24"/>
          <w:lang w:eastAsia="pt-PT"/>
        </w:rPr>
        <w:t>O PIIE pretende facilitar o acesso dos jovens ao mundo do trabalho e, ao mesmo tempo, incentivar as empresas à contratação de jovens qualificados.</w:t>
      </w:r>
    </w:p>
    <w:p w14:paraId="29D1A321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29D1A322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EB3E3E">
        <w:rPr>
          <w:rFonts w:ascii="Times New Roman" w:eastAsia="Calibri" w:hAnsi="Times New Roman" w:cs="Times New Roman"/>
          <w:sz w:val="24"/>
          <w:szCs w:val="24"/>
          <w:lang w:eastAsia="pt-PT"/>
        </w:rPr>
        <w:t>25 - Fixar, através de resolução, em 5.970.000€ o limite máximo global das comparticipações financeiras a atribuir em 2013 para contratos programa a celebrar com associações sem fins lucrativos com vista à realização de projetos de interesse público no domínio da promoção do destino Açores ou dos diferentes produtos turísticos nos mercados nacional e internacional, bem como de ações que visem o estudo, monitorização e acompanhamento da atividade turística nos Açores e ainda de ações que concorram para a criação de uma oferta estruturada de animação turística ou que promovam a qualificação da oferta turística.</w:t>
      </w:r>
    </w:p>
    <w:p w14:paraId="29D1A323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29D1A324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EB3E3E">
        <w:rPr>
          <w:rFonts w:ascii="Times New Roman" w:eastAsia="Calibri" w:hAnsi="Times New Roman" w:cs="Times New Roman"/>
          <w:sz w:val="24"/>
          <w:szCs w:val="24"/>
          <w:lang w:eastAsia="pt-PT"/>
        </w:rPr>
        <w:t>A fase de candidaturas decorre no prazo de 30 dias úteis após a publicação desta resolução.</w:t>
      </w:r>
    </w:p>
    <w:p w14:paraId="29D1A325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29D1A326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EB3E3E">
        <w:rPr>
          <w:rFonts w:ascii="Times New Roman" w:eastAsia="Calibri" w:hAnsi="Times New Roman" w:cs="Times New Roman"/>
          <w:sz w:val="24"/>
          <w:szCs w:val="24"/>
          <w:lang w:eastAsia="pt-PT"/>
        </w:rPr>
        <w:t>26 - Aprovar uma Resolução que atualiza a declaração de utilidade pública, com carácter de urgência, das expropriações dos prédios necessários à execução da ‘Empreitada de Estabilização do Talude adjacente à praia da Ribeira Quente’, no concelho da Povoação, em São Miguel.</w:t>
      </w:r>
    </w:p>
    <w:p w14:paraId="29D1A327" w14:textId="77777777" w:rsidR="00EB3E3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29D1A328" w14:textId="77777777" w:rsidR="00DF60FE" w:rsidRPr="00EB3E3E" w:rsidRDefault="00EB3E3E" w:rsidP="00A04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EB3E3E">
        <w:rPr>
          <w:rFonts w:ascii="Times New Roman" w:eastAsia="Calibri" w:hAnsi="Times New Roman" w:cs="Times New Roman"/>
          <w:sz w:val="24"/>
          <w:szCs w:val="24"/>
          <w:lang w:eastAsia="pt-PT"/>
        </w:rPr>
        <w:t>A necessidade desta atualização resulta do facto de, durante a empreitada e para o seu bom desenvolvimento, terem sido necessários ajustamentos em relação às áreas inicialmente previstas para aquisição, sendo a correção destes anexos essencial para o posterior registo dos prédios.</w:t>
      </w:r>
    </w:p>
    <w:sectPr w:rsidR="00DF60FE" w:rsidRPr="00EB3E3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1A32B" w14:textId="77777777" w:rsidR="00D14121" w:rsidRDefault="00D14121" w:rsidP="00D14121">
      <w:pPr>
        <w:spacing w:after="0" w:line="240" w:lineRule="auto"/>
      </w:pPr>
      <w:r>
        <w:separator/>
      </w:r>
    </w:p>
  </w:endnote>
  <w:endnote w:type="continuationSeparator" w:id="0">
    <w:p w14:paraId="29D1A32C" w14:textId="77777777" w:rsidR="00D14121" w:rsidRDefault="00D14121" w:rsidP="00D1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699336"/>
      <w:docPartObj>
        <w:docPartGallery w:val="Page Numbers (Bottom of Page)"/>
        <w:docPartUnique/>
      </w:docPartObj>
    </w:sdtPr>
    <w:sdtContent>
      <w:p w14:paraId="11EDFA3D" w14:textId="7F51F6E1" w:rsidR="00A04848" w:rsidRDefault="00A0484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84BD939" w14:textId="77777777" w:rsidR="00A04848" w:rsidRDefault="00A048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1A329" w14:textId="77777777" w:rsidR="00D14121" w:rsidRDefault="00D14121" w:rsidP="00D14121">
      <w:pPr>
        <w:spacing w:after="0" w:line="240" w:lineRule="auto"/>
      </w:pPr>
      <w:r>
        <w:separator/>
      </w:r>
    </w:p>
  </w:footnote>
  <w:footnote w:type="continuationSeparator" w:id="0">
    <w:p w14:paraId="29D1A32A" w14:textId="77777777" w:rsidR="00D14121" w:rsidRDefault="00D14121" w:rsidP="00D14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1A32D" w14:textId="77777777" w:rsidR="00D14121" w:rsidRPr="00D14121" w:rsidRDefault="00D14121" w:rsidP="00D14121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24"/>
        <w:szCs w:val="24"/>
        <w:lang w:eastAsia="pt-PT"/>
      </w:rPr>
    </w:pPr>
    <w:r w:rsidRPr="00D14121">
      <w:rPr>
        <w:rFonts w:ascii="Times New Roman" w:eastAsia="Times New Roman" w:hAnsi="Times New Roman" w:cs="Times New Roman"/>
        <w:i/>
        <w:iCs/>
        <w:noProof/>
        <w:sz w:val="24"/>
        <w:szCs w:val="24"/>
        <w:lang w:eastAsia="pt-PT"/>
      </w:rPr>
      <w:drawing>
        <wp:inline distT="0" distB="0" distL="0" distR="0" wp14:anchorId="29D1A332" wp14:editId="29D1A333">
          <wp:extent cx="341630" cy="316865"/>
          <wp:effectExtent l="0" t="0" r="0" b="0"/>
          <wp:docPr id="2" name="Imagem 2" descr="cid:image001.gif@01C94BCF.B9B3C6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gif@01C94BCF.B9B3C6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D1A32E" w14:textId="77777777" w:rsidR="00D14121" w:rsidRPr="00D14121" w:rsidRDefault="00D14121" w:rsidP="00D14121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PT"/>
      </w:rPr>
    </w:pPr>
    <w:r w:rsidRPr="00D14121">
      <w:rPr>
        <w:rFonts w:ascii="Times New Roman" w:eastAsia="Times New Roman" w:hAnsi="Times New Roman" w:cs="Times New Roman"/>
        <w:sz w:val="24"/>
        <w:szCs w:val="24"/>
        <w:lang w:eastAsia="pt-PT"/>
      </w:rPr>
      <w:t>REGIÃO AUTÓNOMA DOS AÇORES</w:t>
    </w:r>
  </w:p>
  <w:p w14:paraId="29D1A32F" w14:textId="77777777" w:rsidR="00D14121" w:rsidRPr="00D14121" w:rsidRDefault="00D14121" w:rsidP="00D14121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PT"/>
      </w:rPr>
    </w:pPr>
    <w:r w:rsidRPr="00D14121">
      <w:rPr>
        <w:rFonts w:ascii="Times New Roman" w:eastAsia="Times New Roman" w:hAnsi="Times New Roman" w:cs="Times New Roman"/>
        <w:sz w:val="24"/>
        <w:szCs w:val="24"/>
        <w:lang w:eastAsia="pt-PT"/>
      </w:rPr>
      <w:t>PRESIDÊNCIA DO GOVERNO</w:t>
    </w:r>
  </w:p>
  <w:p w14:paraId="29D1A330" w14:textId="77777777" w:rsidR="00D14121" w:rsidRPr="00D14121" w:rsidRDefault="00D14121" w:rsidP="00D1412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t-PT"/>
      </w:rPr>
    </w:pPr>
  </w:p>
  <w:p w14:paraId="29D1A331" w14:textId="77777777" w:rsidR="00D14121" w:rsidRDefault="00D141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F5"/>
    <w:rsid w:val="00002B10"/>
    <w:rsid w:val="000076F6"/>
    <w:rsid w:val="0013291A"/>
    <w:rsid w:val="001616F5"/>
    <w:rsid w:val="001C3B36"/>
    <w:rsid w:val="0026296A"/>
    <w:rsid w:val="002918A5"/>
    <w:rsid w:val="002C4BDE"/>
    <w:rsid w:val="00300A35"/>
    <w:rsid w:val="00311CA3"/>
    <w:rsid w:val="00397682"/>
    <w:rsid w:val="003D3855"/>
    <w:rsid w:val="003D3B69"/>
    <w:rsid w:val="003E04F4"/>
    <w:rsid w:val="003E2646"/>
    <w:rsid w:val="003F5F41"/>
    <w:rsid w:val="004B6510"/>
    <w:rsid w:val="00510FF1"/>
    <w:rsid w:val="00686BC6"/>
    <w:rsid w:val="006B0EF3"/>
    <w:rsid w:val="0074366C"/>
    <w:rsid w:val="0077042C"/>
    <w:rsid w:val="007723E4"/>
    <w:rsid w:val="007D158B"/>
    <w:rsid w:val="0082711A"/>
    <w:rsid w:val="00834614"/>
    <w:rsid w:val="00935B56"/>
    <w:rsid w:val="0097205C"/>
    <w:rsid w:val="009834C1"/>
    <w:rsid w:val="0098501C"/>
    <w:rsid w:val="009D4100"/>
    <w:rsid w:val="009E05F6"/>
    <w:rsid w:val="00A0111D"/>
    <w:rsid w:val="00A04848"/>
    <w:rsid w:val="00A516FE"/>
    <w:rsid w:val="00A912EA"/>
    <w:rsid w:val="00AB4726"/>
    <w:rsid w:val="00B23F92"/>
    <w:rsid w:val="00B34BF3"/>
    <w:rsid w:val="00BA05E1"/>
    <w:rsid w:val="00C05DF7"/>
    <w:rsid w:val="00C3111B"/>
    <w:rsid w:val="00CA632B"/>
    <w:rsid w:val="00CC332C"/>
    <w:rsid w:val="00D07E8A"/>
    <w:rsid w:val="00D14121"/>
    <w:rsid w:val="00D25325"/>
    <w:rsid w:val="00DE35EE"/>
    <w:rsid w:val="00DF60FE"/>
    <w:rsid w:val="00E43B53"/>
    <w:rsid w:val="00E60BAF"/>
    <w:rsid w:val="00EA72F1"/>
    <w:rsid w:val="00EB3E3E"/>
    <w:rsid w:val="00ED6786"/>
    <w:rsid w:val="00ED76EB"/>
    <w:rsid w:val="00EE1A53"/>
    <w:rsid w:val="00F63848"/>
    <w:rsid w:val="00F660DD"/>
    <w:rsid w:val="00FD26F4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A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3B36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D14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14121"/>
  </w:style>
  <w:style w:type="paragraph" w:styleId="Rodap">
    <w:name w:val="footer"/>
    <w:basedOn w:val="Normal"/>
    <w:link w:val="RodapCarcter"/>
    <w:uiPriority w:val="99"/>
    <w:unhideWhenUsed/>
    <w:rsid w:val="00D14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14121"/>
  </w:style>
  <w:style w:type="paragraph" w:styleId="Textodebalo">
    <w:name w:val="Balloon Text"/>
    <w:basedOn w:val="Normal"/>
    <w:link w:val="TextodebaloCarcter"/>
    <w:uiPriority w:val="99"/>
    <w:semiHidden/>
    <w:unhideWhenUsed/>
    <w:rsid w:val="00D1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14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3B36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D14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14121"/>
  </w:style>
  <w:style w:type="paragraph" w:styleId="Rodap">
    <w:name w:val="footer"/>
    <w:basedOn w:val="Normal"/>
    <w:link w:val="RodapCarcter"/>
    <w:uiPriority w:val="99"/>
    <w:unhideWhenUsed/>
    <w:rsid w:val="00D14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14121"/>
  </w:style>
  <w:style w:type="paragraph" w:styleId="Textodebalo">
    <w:name w:val="Balloon Text"/>
    <w:basedOn w:val="Normal"/>
    <w:link w:val="TextodebaloCarcter"/>
    <w:uiPriority w:val="99"/>
    <w:semiHidden/>
    <w:unhideWhenUsed/>
    <w:rsid w:val="00D1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14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94BCF.B9B3C6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1602</Words>
  <Characters>8651</Characters>
  <Application>Microsoft Office Word</Application>
  <DocSecurity>4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AF. Caetano</dc:creator>
  <cp:lastModifiedBy>Maria CPS. Oliveira</cp:lastModifiedBy>
  <cp:revision>2</cp:revision>
  <dcterms:created xsi:type="dcterms:W3CDTF">2015-01-15T14:48:00Z</dcterms:created>
  <dcterms:modified xsi:type="dcterms:W3CDTF">2015-01-15T14:48:00Z</dcterms:modified>
</cp:coreProperties>
</file>